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9AB3F" w14:textId="77777777" w:rsidR="008D3897" w:rsidRPr="00E836DC" w:rsidRDefault="008D3897" w:rsidP="008D3897">
      <w:pPr>
        <w:pStyle w:val="Heading1"/>
      </w:pPr>
      <w:r w:rsidRPr="00E836DC">
        <w:rPr>
          <w:rFonts w:hint="eastAsia"/>
        </w:rPr>
        <w:t>M</w:t>
      </w:r>
      <w:r w:rsidRPr="00E836DC">
        <w:t>ethods</w:t>
      </w:r>
    </w:p>
    <w:p w14:paraId="42DB7869" w14:textId="77777777" w:rsidR="008D3897" w:rsidRPr="00231BC8" w:rsidRDefault="008D3897" w:rsidP="008D3897">
      <w:pPr>
        <w:pStyle w:val="Heading2"/>
        <w:rPr>
          <w:b/>
          <w:bCs/>
        </w:rPr>
      </w:pPr>
      <w:r w:rsidRPr="00231BC8">
        <w:rPr>
          <w:rFonts w:hint="eastAsia"/>
        </w:rPr>
        <w:t>D</w:t>
      </w:r>
      <w:r w:rsidRPr="00231BC8">
        <w:t>ataset</w:t>
      </w:r>
    </w:p>
    <w:p w14:paraId="78A73CF7" w14:textId="2CEE3AF0" w:rsidR="008D3897" w:rsidRDefault="008D3897" w:rsidP="008D3897">
      <w:r w:rsidRPr="00E836DC">
        <w:t>We used the Pitt Corpus (</w:t>
      </w:r>
      <w:hyperlink r:id="rId6" w:history="1">
        <w:r w:rsidRPr="00E836DC">
          <w:rPr>
            <w:rStyle w:val="Hyperlink"/>
          </w:rPr>
          <w:t>https://dementia.talkbank.org/access/English/Pitt.html</w:t>
        </w:r>
      </w:hyperlink>
      <w:r w:rsidRPr="00E836DC">
        <w:t xml:space="preserve">, grant support: NIA AG03705 and AG05133) available on Dementia Bank to get the spontaneous speech data </w:t>
      </w:r>
      <w:r w:rsidRPr="00E836DC">
        <w:fldChar w:fldCharType="begin"/>
      </w:r>
      <w:r>
        <w:instrText xml:space="preserve"> ADDIN ZOTERO_ITEM CSL_CITATION {"citationID":"A9lbXPkT","properties":{"formattedCitation":"(Becker et al., 1994)","plainCitation":"(Becker et al., 1994)","noteIndex":0},"citationItems":[{"id":1661,"uris":["http://zotero.org/users/7646034/items/AJG86GA8"],"itemData":{"id":1661,"type":"article-journal","abstract":"OBJECTIVE: We describe the sampling, initial evaluation, and final diagnostic classification of subjects enrolled in a natural history study of Alzheimer's disease (AD).\nDESIGN: Volunteer cohort study.\nSETTING: Multidisciplinary behavioral neurology research clinic.\nPATIENTS OR OTHER PARTICIPANTS: Three-hundred nineteen individuals were enrolled in the Alzheimer Research Program between March 1983 and March 1988. Of these, 204 were originally classified with AD, 102 were normal elderly control subjects, and 13 were considered special cases.\nMAIN OUTCOME MEASURES: Final consensus clinical diagnosis, final neuropathologic diagnosis, and death.\nRESULTS: Of the 204 patients enrolled in the study, re-review after as many as 5 years of follow-up resulted in a final clinical classification of 188 with probable AD. Seven patients were believed to have a significant vascular component to the dementia, three were found to have developed depression, and six were excluded on other clinical grounds. Neuropathologic examination of 50 brains indicated definite AD in 43. After removing these seven misdiagnosed patients, the final group of probable/definite AD totaled 181 individuals. Accuracy of the baseline clinical diagnosis relative to neuropathology was 86%, and when follow-up clinical data were considered, 91.4%. Detailed neuropsychological testing yielded high sensitivity (0.988) and specificity (0.983) to dementia. Analyses of survival time from study entry until death revealed that older patients were significantly more likely to die during follow-up, but neither sex, years of education, nor pattern of cognitive impairment were related to survival.\nCONCLUSIONS: These data provide the descriptive basis for future studies of this cohort. They indicate that longitudinal follow-up of demented cases increases accuracy of diagnosis, and that detailed cognitive testing aids in early classification.","container-title":"Archives of Neurology","DOI":"10.1001/archneur.1994.00540180063015","ISSN":"0003-9942","issue":"6","journalAbbreviation":"Arch Neurol","language":"eng","note":"PMID: 8198470","page":"585-594","source":"PubMed","title":"The natural history of Alzheimer's disease. Description of study cohort and accuracy of diagnosis","volume":"51","author":[{"family":"Becker","given":"J. T."},{"family":"Boller","given":"F."},{"family":"Lopez","given":"O. L."},{"family":"Saxton","given":"J."},{"family":"McGonigle","given":"K. L."}],"issued":{"date-parts":[["1994",6]]}}}],"schema":"https://github.com/citation-style-language/schema/raw/master/csl-citation.json"} </w:instrText>
      </w:r>
      <w:r w:rsidRPr="00E836DC">
        <w:fldChar w:fldCharType="separate"/>
      </w:r>
      <w:r w:rsidRPr="008D3897">
        <w:rPr>
          <w:rFonts w:cs="Times New Roman"/>
        </w:rPr>
        <w:t>(Becker et al., 1994)</w:t>
      </w:r>
      <w:r w:rsidRPr="00E836DC">
        <w:fldChar w:fldCharType="end"/>
      </w:r>
      <w:r w:rsidRPr="00E836DC">
        <w:t xml:space="preserve">. This corpus provides audio recordings and transcripts from healthy controls and probable ADs with their demographic data. We selected 70 healthy </w:t>
      </w:r>
      <w:r>
        <w:t>older</w:t>
      </w:r>
      <w:r w:rsidRPr="00E836DC">
        <w:t xml:space="preserve"> controls (H</w:t>
      </w:r>
      <w:r>
        <w:t>O</w:t>
      </w:r>
      <w:r w:rsidRPr="00E836DC">
        <w:t xml:space="preserve">C), 82 </w:t>
      </w:r>
      <w:r>
        <w:t xml:space="preserve">people with </w:t>
      </w:r>
      <w:r w:rsidRPr="00E836DC">
        <w:t xml:space="preserve">mild AD, and 46 </w:t>
      </w:r>
      <w:r>
        <w:t xml:space="preserve">with </w:t>
      </w:r>
      <w:r w:rsidRPr="00E836DC">
        <w:t xml:space="preserve">moderate AD, using the </w:t>
      </w:r>
      <w:r>
        <w:t>exact</w:t>
      </w:r>
      <w:r w:rsidRPr="00E836DC">
        <w:t xml:space="preserve"> cutoffs used in Lofgren and </w:t>
      </w:r>
      <w:proofErr w:type="spellStart"/>
      <w:r w:rsidRPr="00E836DC">
        <w:t>Hinzen</w:t>
      </w:r>
      <w:proofErr w:type="spellEnd"/>
      <w:r>
        <w:t xml:space="preserve"> </w:t>
      </w:r>
      <w:r>
        <w:fldChar w:fldCharType="begin"/>
      </w:r>
      <w:r>
        <w:instrText xml:space="preserve"> ADDIN ZOTERO_ITEM CSL_CITATION {"citationID":"qzX5jntJ","properties":{"formattedCitation":"(Lofgren &amp; Hinzen, 2022)","plainCitation":"(Lofgren &amp; Hinzen, 2022)","noteIndex":0},"citationItems":[{"id":974,"uris":["http://zotero.org/users/7646034/items/TY287AEK"],"itemData":{"id":974,"type":"article-journal","abstract":"Introduction\nThe profile of spontaneous speech in Alzheimer's disease (AD) includes increased pausing as a window into cognitive decline. We here aimed to further characterize the pausing profile of AD by linking pauses to the syntactic positions in which they appear and disease progression.\nMethods\nSpeech was obtained through a picture description task, thus minimizing demands on episodic memory (EM), from a group of mild (N = 21) and moderate AD (N = 19), and healthy elderly controls (N = 40). Pauses were sub-indexed according to whether they occurred within-clauses, clause-initially, or utterance-initially, and whether they preceded nouns, verbs, or adjectives/adverbs, when occurring within-clauses. Additionally, relations to verbal fluency (VF) measures at the single-word level were explored.\nResults\nPause rate but not duration distinguished controls from both AD groups, while fillers did not distinguish any groups. The analysis by syntactic position revealed a highly differentiated picture, with largest effect sizes of significant group differences seen in the utterance-initial pause rate. The two AD groups patterned differently when compared to controls, while none of the measures differentiated the AD groups. Specifically, moderate but not mild AD differed from controls in clause-initial pauses, while mild but not moderate AD differed from controls in within-clause positions. At the within-clause level, the effect dividing controls from mild-AD was specifically driven by pauses ahead of nouns. A significant negative correlation emerged between pausing rate in spontaneous speech and VF measures in the mild-AD group only.\nConclusions\nIncreased empty (non-filled) pauses in AD are not confined to pauses in within-clause positions, which are most directly related to problems in the retrieval of words. Even in early disease stages, where these within-clause pause effects are seen, they are confined to nouns, revealing a grammatically specific problem possibly related to the referencing of objects. At all disease stages, pauses increase in utterance-sized units of structure, indicating progressive problems in the creative configuration of complete thoughts.","container-title":"Journal of Communication Disorders","DOI":"10.1016/j.jcomdis.2022.106214","ISSN":"0021-9924","journalAbbreviation":"Journal of Communication Disorders","language":"en","page":"106214","source":"ScienceDirect","title":"Breaking the flow of thought: Increase of empty pauses in the connected speech of people with mild and moderate Alzheimer's disease","title-short":"Breaking the flow of thought","volume":"97","author":[{"family":"Lofgren","given":"Mary"},{"family":"Hinzen","given":"Wolfram"}],"issued":{"date-parts":[["2022",5,1]]}}}],"schema":"https://github.com/citation-style-language/schema/raw/master/csl-citation.json"} </w:instrText>
      </w:r>
      <w:r>
        <w:fldChar w:fldCharType="separate"/>
      </w:r>
      <w:r w:rsidRPr="008D3897">
        <w:rPr>
          <w:rFonts w:cs="Times New Roman"/>
        </w:rPr>
        <w:t>(2022)</w:t>
      </w:r>
      <w:r>
        <w:fldChar w:fldCharType="end"/>
      </w:r>
      <w:r w:rsidRPr="00E836DC">
        <w:t>. The filtering criteria used in the present study were: (1) H</w:t>
      </w:r>
      <w:r>
        <w:t>O</w:t>
      </w:r>
      <w:r w:rsidRPr="00E836DC">
        <w:t xml:space="preserve">C: categorized as </w:t>
      </w:r>
      <w:r w:rsidRPr="00E836DC">
        <w:rPr>
          <w:i/>
          <w:iCs/>
        </w:rPr>
        <w:t xml:space="preserve">control </w:t>
      </w:r>
      <w:r w:rsidRPr="00E836DC">
        <w:t xml:space="preserve">in Pitt corpus with an MMSE score above 26; (2) Mild AD: categorized as </w:t>
      </w:r>
      <w:r w:rsidRPr="00E836DC">
        <w:rPr>
          <w:i/>
          <w:iCs/>
        </w:rPr>
        <w:t xml:space="preserve">probable AD </w:t>
      </w:r>
      <w:r w:rsidRPr="00E836DC">
        <w:t xml:space="preserve">in Pitt corpus with an MMSE score from 16 to 24; (3) Moderate AD: categorized as </w:t>
      </w:r>
      <w:r w:rsidRPr="00E836DC">
        <w:rPr>
          <w:i/>
          <w:iCs/>
        </w:rPr>
        <w:t xml:space="preserve">probable AD </w:t>
      </w:r>
      <w:r w:rsidRPr="00E836DC">
        <w:t>in Pitt corpus with an MMSE score from 8 to 15. In this corpus, participant</w:t>
      </w:r>
      <w:r>
        <w:t>s</w:t>
      </w:r>
      <w:r w:rsidRPr="00E836DC">
        <w:t xml:space="preserve"> are instructed to describe what is going on in the Cookie Theft picture.</w:t>
      </w:r>
      <w:r>
        <w:t xml:space="preserve"> </w:t>
      </w:r>
      <w:r w:rsidRPr="00E836DC">
        <w:t xml:space="preserve">There </w:t>
      </w:r>
      <w:r>
        <w:t>were</w:t>
      </w:r>
      <w:r w:rsidRPr="00E836DC">
        <w:t xml:space="preserve"> 3896 utterances in total, including 1087 utterances from the interviewers and 2809 utterances from the interviewees.</w:t>
      </w:r>
      <w:r>
        <w:t xml:space="preserve"> Only utterances from the interviewees are included in the analyses. </w:t>
      </w:r>
    </w:p>
    <w:p w14:paraId="42DAD45B" w14:textId="77777777" w:rsidR="008D3897" w:rsidRPr="00E836DC" w:rsidRDefault="008D3897" w:rsidP="008D3897"/>
    <w:p w14:paraId="60116E04" w14:textId="77777777" w:rsidR="008D3897" w:rsidRPr="00231BC8" w:rsidRDefault="008D3897" w:rsidP="008D3897">
      <w:pPr>
        <w:pStyle w:val="Heading2"/>
        <w:rPr>
          <w:b/>
          <w:bCs/>
        </w:rPr>
      </w:pPr>
      <w:r w:rsidRPr="00231BC8">
        <w:t>Annotation</w:t>
      </w:r>
    </w:p>
    <w:p w14:paraId="17B669D2" w14:textId="77777777" w:rsidR="008D3897" w:rsidRDefault="008D3897" w:rsidP="008D3897">
      <w:r w:rsidRPr="00E836DC">
        <w:rPr>
          <w:rFonts w:hint="eastAsia"/>
        </w:rPr>
        <w:t>A</w:t>
      </w:r>
      <w:r w:rsidRPr="00E836DC">
        <w:t xml:space="preserve">s episodicity is an event-based concept, we first segmented the texts into utterances. In this study, we defined an utterance as </w:t>
      </w:r>
      <w:r w:rsidRPr="00E836DC">
        <w:rPr>
          <w:rFonts w:hint="eastAsia"/>
        </w:rPr>
        <w:t>a</w:t>
      </w:r>
      <w:r w:rsidRPr="00E836DC">
        <w:t xml:space="preserve"> grammatically independent unit of speech that provides new information to the discourse. According to this definition, an utterance does not have to be a </w:t>
      </w:r>
      <w:r w:rsidRPr="00535C3E">
        <w:rPr>
          <w:i/>
          <w:iCs/>
        </w:rPr>
        <w:t>clause</w:t>
      </w:r>
      <w:r w:rsidRPr="00E836DC">
        <w:t xml:space="preserve"> (</w:t>
      </w:r>
      <w:proofErr w:type="gramStart"/>
      <w:r w:rsidRPr="00E836DC">
        <w:t>e.g.</w:t>
      </w:r>
      <w:proofErr w:type="gramEnd"/>
      <w:r w:rsidRPr="00E836DC">
        <w:t xml:space="preserve"> </w:t>
      </w:r>
      <w:r w:rsidRPr="00E836DC">
        <w:rPr>
          <w:i/>
          <w:iCs/>
        </w:rPr>
        <w:t xml:space="preserve">Great shot! </w:t>
      </w:r>
      <w:r w:rsidRPr="00E836DC">
        <w:t xml:space="preserve">can be an utterance, and it is not syntactically a clause), while a clause does not have to be an utterance (since a clause </w:t>
      </w:r>
      <w:r w:rsidRPr="00E836DC">
        <w:lastRenderedPageBreak/>
        <w:t xml:space="preserve">can occur embedded in another, in which case it will not be an utterance). </w:t>
      </w:r>
      <w:bookmarkStart w:id="0" w:name="OLE_LINK59"/>
      <w:bookmarkStart w:id="1" w:name="OLE_LINK60"/>
      <w:r w:rsidRPr="00E836DC">
        <w:t xml:space="preserve">The </w:t>
      </w:r>
      <w:r>
        <w:t>‘</w:t>
      </w:r>
      <w:r w:rsidRPr="00E836DC">
        <w:t>new information</w:t>
      </w:r>
      <w:r>
        <w:t>’</w:t>
      </w:r>
      <w:r w:rsidRPr="00E836DC">
        <w:t xml:space="preserve"> requirement ex</w:t>
      </w:r>
      <w:r w:rsidRPr="00E836DC">
        <w:rPr>
          <w:rFonts w:hint="eastAsia"/>
        </w:rPr>
        <w:t>clude</w:t>
      </w:r>
      <w:r w:rsidRPr="00E836DC">
        <w:t>s reduced utterances that primarily serve a discourse function</w:t>
      </w:r>
      <w:bookmarkEnd w:id="0"/>
      <w:bookmarkEnd w:id="1"/>
      <w:r w:rsidRPr="00E836DC">
        <w:t xml:space="preserve"> (e.g.</w:t>
      </w:r>
      <w:r>
        <w:t>,</w:t>
      </w:r>
      <w:r w:rsidRPr="00E836DC">
        <w:t xml:space="preserve"> </w:t>
      </w:r>
      <w:r w:rsidRPr="00E836DC">
        <w:rPr>
          <w:i/>
          <w:iCs/>
        </w:rPr>
        <w:t>Oh well</w:t>
      </w:r>
      <w:r w:rsidRPr="00E836DC">
        <w:t xml:space="preserve">). </w:t>
      </w:r>
      <w:r>
        <w:t>T</w:t>
      </w:r>
      <w:r w:rsidRPr="00E836DC">
        <w:t>he original utterance division of the Pitt Corpus</w:t>
      </w:r>
      <w:r>
        <w:t xml:space="preserve"> was</w:t>
      </w:r>
      <w:r w:rsidRPr="00E836DC">
        <w:t xml:space="preserve"> changed </w:t>
      </w:r>
      <w:r>
        <w:t>when it</w:t>
      </w:r>
      <w:r w:rsidRPr="00E836DC">
        <w:t xml:space="preserve"> did not comply with our definition.</w:t>
      </w:r>
      <w:r w:rsidRPr="0032210E">
        <w:t xml:space="preserve"> </w:t>
      </w:r>
      <w:r>
        <w:t xml:space="preserve">As clausal structures carry event information and can be embedded in an utterance, we also annotated </w:t>
      </w:r>
      <w:r w:rsidRPr="009F37F5">
        <w:t>episodicity separately</w:t>
      </w:r>
      <w:r>
        <w:t xml:space="preserve"> in embedded clauses (EC). These were </w:t>
      </w:r>
      <w:r w:rsidRPr="009F37F5">
        <w:t xml:space="preserve">defined </w:t>
      </w:r>
      <w:r>
        <w:t xml:space="preserve">as </w:t>
      </w:r>
      <w:r w:rsidRPr="009F37F5">
        <w:t>syntactically dependent unit</w:t>
      </w:r>
      <w:r>
        <w:t>s</w:t>
      </w:r>
      <w:r w:rsidRPr="009F37F5">
        <w:t xml:space="preserve"> with </w:t>
      </w:r>
      <w:r>
        <w:t xml:space="preserve">a </w:t>
      </w:r>
      <w:r w:rsidRPr="009F37F5">
        <w:t xml:space="preserve">predicate and </w:t>
      </w:r>
      <w:r>
        <w:t xml:space="preserve">an </w:t>
      </w:r>
      <w:r w:rsidRPr="009F37F5">
        <w:t xml:space="preserve">argument, where the predicates </w:t>
      </w:r>
      <w:r>
        <w:t xml:space="preserve">in question </w:t>
      </w:r>
      <w:r w:rsidRPr="009F37F5">
        <w:t>are verb phrases (VPs).</w:t>
      </w:r>
    </w:p>
    <w:p w14:paraId="4C065303" w14:textId="77777777" w:rsidR="008D3897" w:rsidRDefault="008D3897" w:rsidP="008D3897">
      <w:pPr>
        <w:ind w:firstLine="420"/>
      </w:pPr>
      <w:r w:rsidRPr="00E836DC">
        <w:t xml:space="preserve">We </w:t>
      </w:r>
      <w:r>
        <w:t>classified utterances as falling into</w:t>
      </w:r>
      <w:r w:rsidRPr="00E836DC">
        <w:t xml:space="preserve"> three main categories: episodic (EP), non-episodic (NONEP), and others (OTHER). We defined an </w:t>
      </w:r>
      <w:r w:rsidRPr="00E836DC">
        <w:rPr>
          <w:i/>
          <w:iCs/>
        </w:rPr>
        <w:t xml:space="preserve">episodic </w:t>
      </w:r>
      <w:r w:rsidRPr="00E836DC">
        <w:t xml:space="preserve">utterance as an utterance describing a dynamic (as opposed to static) event, which is both specific (rather than indefinite or generic) and presented from a first-person perspective. In the context of a picture description task, it will often be the description of an event as ongoing as and when the speech act proceeds. Judgments of episodicity were intentionally qualitative, </w:t>
      </w:r>
      <w:r>
        <w:t xml:space="preserve">in the sense that </w:t>
      </w:r>
      <w:r w:rsidRPr="00E836DC">
        <w:t>we could not identify a specific set of linguistic markers that were jointly necessary and sufficient for episodicity. However, in every utterance, a number of linguistic indicators were considered to inform this judgment</w:t>
      </w:r>
      <w:r>
        <w:t>,</w:t>
      </w:r>
      <w:r w:rsidRPr="00E836DC">
        <w:t xml:space="preserve"> such as </w:t>
      </w:r>
      <w:r>
        <w:t>the grammatical A</w:t>
      </w:r>
      <w:r w:rsidRPr="00E836DC">
        <w:t xml:space="preserve">spect of verbs </w:t>
      </w:r>
      <w:r>
        <w:t>or</w:t>
      </w:r>
      <w:r w:rsidRPr="00E836DC">
        <w:t xml:space="preserve"> copular clauses</w:t>
      </w:r>
      <w:r>
        <w:t>, as noted in the introduction</w:t>
      </w:r>
      <w:r w:rsidRPr="00E836DC">
        <w:t xml:space="preserve">. Details of these linguistic features with a flowchart for </w:t>
      </w:r>
      <w:r>
        <w:t xml:space="preserve">the </w:t>
      </w:r>
      <w:r w:rsidRPr="00E836DC">
        <w:t xml:space="preserve">annotation scheme can be found in the supplementary materials. </w:t>
      </w:r>
      <w:r>
        <w:t>Within</w:t>
      </w:r>
      <w:r w:rsidRPr="00E836DC">
        <w:t xml:space="preserve"> OTHER, three subdivisions were introduced since it seemed necessary to distinguish primary on-task utterances from </w:t>
      </w:r>
      <w:bookmarkStart w:id="2" w:name="_Toc107003576"/>
      <w:bookmarkStart w:id="3" w:name="_Toc107004681"/>
      <w:bookmarkStart w:id="4" w:name="_Toc107094284"/>
      <w:bookmarkStart w:id="5" w:name="_Toc107094394"/>
      <w:bookmarkStart w:id="6" w:name="_Toc107094492"/>
      <w:bookmarkStart w:id="7" w:name="_Toc107094599"/>
      <w:bookmarkStart w:id="8" w:name="_Toc107094691"/>
      <w:bookmarkStart w:id="9" w:name="_Toc107094767"/>
      <w:bookmarkStart w:id="10" w:name="_Toc107094900"/>
      <w:bookmarkStart w:id="11" w:name="_Toc107096488"/>
      <w:bookmarkEnd w:id="2"/>
      <w:bookmarkEnd w:id="3"/>
      <w:bookmarkEnd w:id="4"/>
      <w:bookmarkEnd w:id="5"/>
      <w:bookmarkEnd w:id="6"/>
      <w:bookmarkEnd w:id="7"/>
      <w:bookmarkEnd w:id="8"/>
      <w:bookmarkEnd w:id="9"/>
      <w:bookmarkEnd w:id="10"/>
      <w:bookmarkEnd w:id="11"/>
      <w:r w:rsidRPr="00E836DC">
        <w:t>different off-task ones</w:t>
      </w:r>
      <w:r>
        <w:t>: (</w:t>
      </w:r>
      <w:proofErr w:type="spellStart"/>
      <w:r>
        <w:t>i</w:t>
      </w:r>
      <w:proofErr w:type="spellEnd"/>
      <w:r>
        <w:t xml:space="preserve">) </w:t>
      </w:r>
      <w:r>
        <w:rPr>
          <w:rFonts w:cs="Times New Roman"/>
          <w:noProof/>
        </w:rPr>
        <w:t>Meta</w:t>
      </w:r>
      <w:r w:rsidRPr="007E627B">
        <w:rPr>
          <w:rFonts w:cs="Times New Roman"/>
          <w:noProof/>
        </w:rPr>
        <w:t xml:space="preserve">: This included non-verbal components </w:t>
      </w:r>
      <w:r w:rsidRPr="007E627B">
        <w:rPr>
          <w:rFonts w:cs="Times New Roman"/>
          <w:noProof/>
        </w:rPr>
        <w:lastRenderedPageBreak/>
        <w:t xml:space="preserve">that appear in the description, verbal but off-task, and </w:t>
      </w:r>
      <w:bookmarkStart w:id="12" w:name="OLE_LINK207"/>
      <w:bookmarkStart w:id="13" w:name="OLE_LINK208"/>
      <w:r w:rsidRPr="007E627B">
        <w:rPr>
          <w:rFonts w:cs="Times New Roman"/>
          <w:noProof/>
        </w:rPr>
        <w:t>meta-task utterances</w:t>
      </w:r>
      <w:bookmarkEnd w:id="12"/>
      <w:bookmarkEnd w:id="13"/>
      <w:r w:rsidRPr="007E627B">
        <w:rPr>
          <w:rFonts w:cs="Times New Roman"/>
          <w:noProof/>
        </w:rPr>
        <w:t xml:space="preserve">, </w:t>
      </w:r>
      <w:bookmarkStart w:id="14" w:name="OLE_LINK209"/>
      <w:bookmarkStart w:id="15" w:name="OLE_LINK210"/>
      <w:r w:rsidRPr="007E627B">
        <w:rPr>
          <w:rFonts w:cs="Times New Roman"/>
          <w:noProof/>
        </w:rPr>
        <w:t xml:space="preserve">e.g., </w:t>
      </w:r>
      <w:r w:rsidRPr="007E627B">
        <w:rPr>
          <w:rFonts w:cs="Times New Roman"/>
          <w:i/>
          <w:iCs/>
          <w:noProof/>
        </w:rPr>
        <w:t>xxx</w:t>
      </w:r>
      <w:r w:rsidRPr="007E627B">
        <w:rPr>
          <w:rFonts w:cs="Times New Roman"/>
          <w:noProof/>
        </w:rPr>
        <w:t xml:space="preserve"> (hesitation), </w:t>
      </w:r>
      <w:r w:rsidRPr="007E627B">
        <w:rPr>
          <w:rFonts w:cs="Times New Roman"/>
          <w:i/>
          <w:iCs/>
          <w:noProof/>
        </w:rPr>
        <w:t>I can</w:t>
      </w:r>
      <w:r>
        <w:rPr>
          <w:rFonts w:cs="Times New Roman"/>
          <w:i/>
          <w:iCs/>
          <w:noProof/>
        </w:rPr>
        <w:t>’</w:t>
      </w:r>
      <w:r w:rsidRPr="007E627B">
        <w:rPr>
          <w:rFonts w:cs="Times New Roman"/>
          <w:i/>
          <w:iCs/>
          <w:noProof/>
        </w:rPr>
        <w:t>t read</w:t>
      </w:r>
      <w:r w:rsidRPr="007E627B">
        <w:rPr>
          <w:rFonts w:cs="Times New Roman"/>
          <w:noProof/>
        </w:rPr>
        <w:t xml:space="preserve">, </w:t>
      </w:r>
      <w:r w:rsidRPr="007E627B">
        <w:rPr>
          <w:rFonts w:cs="Times New Roman"/>
          <w:i/>
          <w:iCs/>
          <w:noProof/>
        </w:rPr>
        <w:t>thank you</w:t>
      </w:r>
      <w:bookmarkEnd w:id="14"/>
      <w:bookmarkEnd w:id="15"/>
      <w:r>
        <w:t xml:space="preserve">; (ii) </w:t>
      </w:r>
      <w:r w:rsidRPr="007E627B">
        <w:rPr>
          <w:rFonts w:cs="Times New Roman"/>
          <w:noProof/>
        </w:rPr>
        <w:t>In</w:t>
      </w:r>
      <w:r>
        <w:rPr>
          <w:rFonts w:cs="Times New Roman"/>
          <w:noProof/>
        </w:rPr>
        <w:t>ter</w:t>
      </w:r>
      <w:r w:rsidRPr="007E627B">
        <w:rPr>
          <w:rFonts w:cs="Times New Roman"/>
          <w:noProof/>
        </w:rPr>
        <w:t xml:space="preserve">j: Interjections through sounds, words, or brief sentences typically expressing an emotional reaction, e.g., </w:t>
      </w:r>
      <w:r w:rsidRPr="007E627B">
        <w:rPr>
          <w:rFonts w:cs="Times New Roman"/>
          <w:i/>
          <w:iCs/>
          <w:noProof/>
        </w:rPr>
        <w:t>My God</w:t>
      </w:r>
      <w:r w:rsidRPr="007E627B">
        <w:rPr>
          <w:rFonts w:cs="Times New Roman"/>
          <w:noProof/>
        </w:rPr>
        <w:t xml:space="preserve">, </w:t>
      </w:r>
      <w:r w:rsidRPr="007E627B">
        <w:rPr>
          <w:rFonts w:cs="Times New Roman"/>
          <w:i/>
          <w:iCs/>
          <w:noProof/>
        </w:rPr>
        <w:t>yeah</w:t>
      </w:r>
      <w:r w:rsidRPr="007E627B">
        <w:rPr>
          <w:rFonts w:cs="Times New Roman"/>
          <w:noProof/>
        </w:rPr>
        <w:t xml:space="preserve">, </w:t>
      </w:r>
      <w:r w:rsidRPr="007E627B">
        <w:rPr>
          <w:rFonts w:cs="Times New Roman"/>
          <w:i/>
          <w:iCs/>
          <w:noProof/>
        </w:rPr>
        <w:t>mhm</w:t>
      </w:r>
      <w:r>
        <w:rPr>
          <w:rFonts w:cs="Times New Roman"/>
          <w:noProof/>
        </w:rPr>
        <w:t xml:space="preserve">; </w:t>
      </w:r>
      <w:r>
        <w:t xml:space="preserve">(iii) </w:t>
      </w:r>
      <w:r w:rsidRPr="007E627B">
        <w:rPr>
          <w:rFonts w:cs="Times New Roman"/>
          <w:noProof/>
        </w:rPr>
        <w:t>In</w:t>
      </w:r>
      <w:r>
        <w:rPr>
          <w:rFonts w:cs="Times New Roman"/>
          <w:noProof/>
        </w:rPr>
        <w:t>c</w:t>
      </w:r>
      <w:r w:rsidRPr="007E627B">
        <w:rPr>
          <w:rFonts w:cs="Times New Roman"/>
          <w:noProof/>
        </w:rPr>
        <w:t>omp</w:t>
      </w:r>
      <w:r w:rsidRPr="00E836DC">
        <w:t xml:space="preserve">: </w:t>
      </w:r>
      <w:r>
        <w:t xml:space="preserve">Incomprehensible </w:t>
      </w:r>
      <w:r w:rsidRPr="00E836DC">
        <w:t>utterances that are</w:t>
      </w:r>
      <w:r>
        <w:t xml:space="preserve"> </w:t>
      </w:r>
      <w:r w:rsidRPr="00E836DC">
        <w:t>severely impaired semantically and/or syntactically, e.g.</w:t>
      </w:r>
      <w:r>
        <w:t>,</w:t>
      </w:r>
      <w:r w:rsidRPr="00E836DC">
        <w:t xml:space="preserve"> </w:t>
      </w:r>
      <w:r w:rsidRPr="007E627B">
        <w:rPr>
          <w:i/>
          <w:iCs/>
        </w:rPr>
        <w:t>She</w:t>
      </w:r>
      <w:r>
        <w:rPr>
          <w:i/>
          <w:iCs/>
        </w:rPr>
        <w:t>’</w:t>
      </w:r>
      <w:r w:rsidRPr="007E627B">
        <w:rPr>
          <w:i/>
          <w:iCs/>
        </w:rPr>
        <w:t>s</w:t>
      </w:r>
      <w:r w:rsidRPr="00E836DC">
        <w:t xml:space="preserve">, </w:t>
      </w:r>
      <w:r w:rsidRPr="007E627B">
        <w:rPr>
          <w:i/>
          <w:iCs/>
        </w:rPr>
        <w:t>and then the</w:t>
      </w:r>
      <w:r w:rsidRPr="00E836DC">
        <w:t xml:space="preserve">, </w:t>
      </w:r>
      <w:proofErr w:type="spellStart"/>
      <w:r w:rsidRPr="007E627B">
        <w:rPr>
          <w:i/>
          <w:iCs/>
        </w:rPr>
        <w:t>cappdfk</w:t>
      </w:r>
      <w:proofErr w:type="spellEnd"/>
      <w:r w:rsidRPr="007E627B">
        <w:rPr>
          <w:i/>
          <w:iCs/>
        </w:rPr>
        <w:t xml:space="preserve"> five seven</w:t>
      </w:r>
      <w:r>
        <w:t>.</w:t>
      </w:r>
    </w:p>
    <w:p w14:paraId="29AB7CFF" w14:textId="4C52B005" w:rsidR="008D3897" w:rsidRDefault="008D3897" w:rsidP="008D3897">
      <w:pPr>
        <w:ind w:firstLine="420"/>
      </w:pPr>
      <w:r w:rsidRPr="00E836DC">
        <w:rPr>
          <w:rFonts w:hint="eastAsia"/>
        </w:rPr>
        <w:t>T</w:t>
      </w:r>
      <w:r w:rsidRPr="00E836DC">
        <w:t xml:space="preserve">wo annotators labeled all utterances separately. The interrater reliability, </w:t>
      </w:r>
      <w:r>
        <w:t xml:space="preserve">as </w:t>
      </w:r>
      <w:r w:rsidRPr="00E836DC">
        <w:t xml:space="preserve">measured by the ratio of utterances where the two annotators agreed on both whole utterance and EC annotations, </w:t>
      </w:r>
      <w:r>
        <w:t>was</w:t>
      </w:r>
      <w:r w:rsidRPr="00E836DC">
        <w:t xml:space="preserve"> 95.91%. A third annotator, who also supervised this study, checked all utterances where the two annotators disagreed</w:t>
      </w:r>
      <w:r>
        <w:t>,</w:t>
      </w:r>
      <w:r w:rsidRPr="00E836DC">
        <w:t xml:space="preserve"> and 10% of the utterances they agreed. </w:t>
      </w:r>
    </w:p>
    <w:p w14:paraId="73B1B1B2" w14:textId="4A57D28B" w:rsidR="009B48E3" w:rsidRDefault="00000000"/>
    <w:p w14:paraId="2634F1AB" w14:textId="2284C510" w:rsidR="008D3897" w:rsidRPr="008D3897" w:rsidRDefault="008D3897">
      <w:pPr>
        <w:rPr>
          <w:b/>
          <w:bCs/>
        </w:rPr>
      </w:pPr>
      <w:r>
        <w:rPr>
          <w:rFonts w:hint="eastAsia"/>
          <w:b/>
          <w:bCs/>
        </w:rPr>
        <w:t>R</w:t>
      </w:r>
      <w:r>
        <w:rPr>
          <w:b/>
          <w:bCs/>
        </w:rPr>
        <w:t>eferences</w:t>
      </w:r>
    </w:p>
    <w:p w14:paraId="35E17C12" w14:textId="77777777" w:rsidR="008D3897" w:rsidRPr="008D3897" w:rsidRDefault="008D3897" w:rsidP="008D3897">
      <w:pPr>
        <w:pStyle w:val="Bibliography"/>
        <w:rPr>
          <w:rFonts w:cs="Times New Roman"/>
        </w:rPr>
      </w:pPr>
      <w:r>
        <w:fldChar w:fldCharType="begin"/>
      </w:r>
      <w:r>
        <w:instrText xml:space="preserve"> ADDIN ZOTERO_BIBL {"uncited":[],"omitted":[],"custom":[]} CSL_BIBLIOGRAPHY </w:instrText>
      </w:r>
      <w:r>
        <w:fldChar w:fldCharType="separate"/>
      </w:r>
      <w:r w:rsidRPr="008D3897">
        <w:rPr>
          <w:rFonts w:cs="Times New Roman"/>
        </w:rPr>
        <w:t xml:space="preserve">Becker, J. T., </w:t>
      </w:r>
      <w:proofErr w:type="spellStart"/>
      <w:r w:rsidRPr="008D3897">
        <w:rPr>
          <w:rFonts w:cs="Times New Roman"/>
        </w:rPr>
        <w:t>Boller</w:t>
      </w:r>
      <w:proofErr w:type="spellEnd"/>
      <w:r w:rsidRPr="008D3897">
        <w:rPr>
          <w:rFonts w:cs="Times New Roman"/>
        </w:rPr>
        <w:t xml:space="preserve">, F., Lopez, O. L., Saxton, J., &amp; McGonigle, K. L. (1994). The natural history of Alzheimer’s disease. Description of study cohort and accuracy of diagnosis. </w:t>
      </w:r>
      <w:r w:rsidRPr="008D3897">
        <w:rPr>
          <w:rFonts w:cs="Times New Roman"/>
          <w:i/>
          <w:iCs/>
        </w:rPr>
        <w:t>Archives of Neurology</w:t>
      </w:r>
      <w:r w:rsidRPr="008D3897">
        <w:rPr>
          <w:rFonts w:cs="Times New Roman"/>
        </w:rPr>
        <w:t xml:space="preserve">, </w:t>
      </w:r>
      <w:r w:rsidRPr="008D3897">
        <w:rPr>
          <w:rFonts w:cs="Times New Roman"/>
          <w:i/>
          <w:iCs/>
        </w:rPr>
        <w:t>51</w:t>
      </w:r>
      <w:r w:rsidRPr="008D3897">
        <w:rPr>
          <w:rFonts w:cs="Times New Roman"/>
        </w:rPr>
        <w:t>(6), 585–594. https://doi.org/10.1001/archneur.1994.00540180063015</w:t>
      </w:r>
    </w:p>
    <w:p w14:paraId="266192D6" w14:textId="77777777" w:rsidR="008D3897" w:rsidRPr="008D3897" w:rsidRDefault="008D3897" w:rsidP="008D3897">
      <w:pPr>
        <w:pStyle w:val="Bibliography"/>
        <w:rPr>
          <w:rFonts w:cs="Times New Roman"/>
        </w:rPr>
      </w:pPr>
      <w:r w:rsidRPr="008D3897">
        <w:rPr>
          <w:rFonts w:cs="Times New Roman"/>
        </w:rPr>
        <w:t xml:space="preserve">Lofgren, M., &amp; </w:t>
      </w:r>
      <w:proofErr w:type="spellStart"/>
      <w:r w:rsidRPr="008D3897">
        <w:rPr>
          <w:rFonts w:cs="Times New Roman"/>
        </w:rPr>
        <w:t>Hinzen</w:t>
      </w:r>
      <w:proofErr w:type="spellEnd"/>
      <w:r w:rsidRPr="008D3897">
        <w:rPr>
          <w:rFonts w:cs="Times New Roman"/>
        </w:rPr>
        <w:t xml:space="preserve">, W. (2022). Breaking the flow of thought: Increase of empty pauses in the connected speech of people with mild and moderate Alzheimer’s disease. </w:t>
      </w:r>
      <w:r w:rsidRPr="008D3897">
        <w:rPr>
          <w:rFonts w:cs="Times New Roman"/>
          <w:i/>
          <w:iCs/>
        </w:rPr>
        <w:t>Journal of Communication Disorders</w:t>
      </w:r>
      <w:r w:rsidRPr="008D3897">
        <w:rPr>
          <w:rFonts w:cs="Times New Roman"/>
        </w:rPr>
        <w:t xml:space="preserve">, </w:t>
      </w:r>
      <w:r w:rsidRPr="008D3897">
        <w:rPr>
          <w:rFonts w:cs="Times New Roman"/>
          <w:i/>
          <w:iCs/>
        </w:rPr>
        <w:t>97</w:t>
      </w:r>
      <w:r w:rsidRPr="008D3897">
        <w:rPr>
          <w:rFonts w:cs="Times New Roman"/>
        </w:rPr>
        <w:t>, 106214. https://doi.org/10.1016/j.jcomdis.2022.106214</w:t>
      </w:r>
    </w:p>
    <w:p w14:paraId="10723622" w14:textId="0504CE7E" w:rsidR="008D3897" w:rsidRDefault="008D3897">
      <w:r>
        <w:fldChar w:fldCharType="end"/>
      </w:r>
    </w:p>
    <w:p w14:paraId="1952C712" w14:textId="77777777" w:rsidR="008D3897" w:rsidRDefault="008D3897">
      <w:pPr>
        <w:rPr>
          <w:rFonts w:hint="eastAsia"/>
        </w:rPr>
      </w:pPr>
    </w:p>
    <w:sectPr w:rsidR="008D38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A69F" w14:textId="77777777" w:rsidR="00315771" w:rsidRDefault="00315771" w:rsidP="008D3897">
      <w:pPr>
        <w:spacing w:line="240" w:lineRule="auto"/>
      </w:pPr>
      <w:r>
        <w:separator/>
      </w:r>
    </w:p>
  </w:endnote>
  <w:endnote w:type="continuationSeparator" w:id="0">
    <w:p w14:paraId="3D7BB43B" w14:textId="77777777" w:rsidR="00315771" w:rsidRDefault="00315771" w:rsidP="008D3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B7FC" w14:textId="77777777" w:rsidR="00315771" w:rsidRDefault="00315771" w:rsidP="008D3897">
      <w:pPr>
        <w:spacing w:line="240" w:lineRule="auto"/>
      </w:pPr>
      <w:r>
        <w:separator/>
      </w:r>
    </w:p>
  </w:footnote>
  <w:footnote w:type="continuationSeparator" w:id="0">
    <w:p w14:paraId="33498E40" w14:textId="77777777" w:rsidR="00315771" w:rsidRDefault="00315771" w:rsidP="008D389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0MzA0NgNSZsYmlko6SsGpxcWZ+XkgBYa1ACSC+iwsAAAA"/>
  </w:docVars>
  <w:rsids>
    <w:rsidRoot w:val="00FA724C"/>
    <w:rsid w:val="00180EF7"/>
    <w:rsid w:val="00242638"/>
    <w:rsid w:val="00315771"/>
    <w:rsid w:val="003B24C8"/>
    <w:rsid w:val="004C584D"/>
    <w:rsid w:val="004F20A0"/>
    <w:rsid w:val="005D1A76"/>
    <w:rsid w:val="006E3E80"/>
    <w:rsid w:val="008779E8"/>
    <w:rsid w:val="00886ACA"/>
    <w:rsid w:val="008B18C6"/>
    <w:rsid w:val="008C41A5"/>
    <w:rsid w:val="008D3897"/>
    <w:rsid w:val="00934CC5"/>
    <w:rsid w:val="00935E32"/>
    <w:rsid w:val="00AF5D77"/>
    <w:rsid w:val="00B007D8"/>
    <w:rsid w:val="00B27C9F"/>
    <w:rsid w:val="00BB4E5D"/>
    <w:rsid w:val="00CE5102"/>
    <w:rsid w:val="00D016C4"/>
    <w:rsid w:val="00DC35A3"/>
    <w:rsid w:val="00E62E64"/>
    <w:rsid w:val="00E934E4"/>
    <w:rsid w:val="00F16B10"/>
    <w:rsid w:val="00FA724C"/>
    <w:rsid w:val="00FB05D5"/>
    <w:rsid w:val="00FD2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457C8"/>
  <w15:chartTrackingRefBased/>
  <w15:docId w15:val="{894F039B-A633-4032-89C2-418FFFD1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897"/>
    <w:pPr>
      <w:widowControl w:val="0"/>
      <w:spacing w:line="480" w:lineRule="auto"/>
      <w:jc w:val="both"/>
    </w:pPr>
    <w:rPr>
      <w:rFonts w:ascii="Times New Roman" w:eastAsia="宋体" w:hAnsi="Times New Roman" w:cs="宋体"/>
      <w:kern w:val="0"/>
      <w:sz w:val="24"/>
      <w:szCs w:val="24"/>
    </w:rPr>
  </w:style>
  <w:style w:type="paragraph" w:styleId="Heading1">
    <w:name w:val="heading 1"/>
    <w:basedOn w:val="Normal"/>
    <w:next w:val="Normal"/>
    <w:link w:val="Heading1Char"/>
    <w:uiPriority w:val="9"/>
    <w:qFormat/>
    <w:rsid w:val="008D3897"/>
    <w:pPr>
      <w:ind w:left="360" w:hanging="360"/>
      <w:outlineLvl w:val="0"/>
    </w:pPr>
    <w:rPr>
      <w:rFonts w:cs="Times New Roman"/>
      <w:b/>
      <w:kern w:val="2"/>
    </w:rPr>
  </w:style>
  <w:style w:type="paragraph" w:styleId="Heading2">
    <w:name w:val="heading 2"/>
    <w:basedOn w:val="ListParagraph"/>
    <w:next w:val="Normal"/>
    <w:link w:val="Heading2Char"/>
    <w:uiPriority w:val="9"/>
    <w:unhideWhenUsed/>
    <w:qFormat/>
    <w:rsid w:val="008D3897"/>
    <w:pPr>
      <w:ind w:firstLineChars="0" w:firstLine="0"/>
      <w:outlineLvl w:val="1"/>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6ACA"/>
    <w:pPr>
      <w:spacing w:line="700" w:lineRule="exact"/>
      <w:jc w:val="center"/>
    </w:pPr>
    <w:rPr>
      <w:rFonts w:ascii="方正小标宋简体" w:eastAsia="方正小标宋简体"/>
      <w:sz w:val="44"/>
      <w:szCs w:val="44"/>
    </w:rPr>
  </w:style>
  <w:style w:type="character" w:customStyle="1" w:styleId="TitleChar">
    <w:name w:val="Title Char"/>
    <w:basedOn w:val="DefaultParagraphFont"/>
    <w:link w:val="Title"/>
    <w:uiPriority w:val="10"/>
    <w:rsid w:val="00886ACA"/>
    <w:rPr>
      <w:rFonts w:ascii="方正小标宋简体" w:eastAsia="方正小标宋简体"/>
      <w:sz w:val="44"/>
      <w:szCs w:val="44"/>
    </w:rPr>
  </w:style>
  <w:style w:type="paragraph" w:styleId="Header">
    <w:name w:val="header"/>
    <w:basedOn w:val="Normal"/>
    <w:link w:val="HeaderChar"/>
    <w:uiPriority w:val="99"/>
    <w:unhideWhenUsed/>
    <w:rsid w:val="008D389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3897"/>
    <w:rPr>
      <w:rFonts w:ascii="Times New Roman" w:eastAsia="宋体" w:hAnsi="Times New Roman" w:cs="宋体"/>
      <w:kern w:val="0"/>
      <w:sz w:val="18"/>
      <w:szCs w:val="18"/>
    </w:rPr>
  </w:style>
  <w:style w:type="paragraph" w:styleId="Footer">
    <w:name w:val="footer"/>
    <w:basedOn w:val="Normal"/>
    <w:link w:val="FooterChar"/>
    <w:uiPriority w:val="99"/>
    <w:unhideWhenUsed/>
    <w:rsid w:val="008D3897"/>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rsid w:val="008D3897"/>
    <w:rPr>
      <w:rFonts w:ascii="Times New Roman" w:eastAsia="宋体" w:hAnsi="Times New Roman" w:cs="宋体"/>
      <w:kern w:val="0"/>
      <w:sz w:val="18"/>
      <w:szCs w:val="18"/>
    </w:rPr>
  </w:style>
  <w:style w:type="character" w:customStyle="1" w:styleId="Heading1Char">
    <w:name w:val="Heading 1 Char"/>
    <w:basedOn w:val="DefaultParagraphFont"/>
    <w:link w:val="Heading1"/>
    <w:uiPriority w:val="9"/>
    <w:rsid w:val="008D3897"/>
    <w:rPr>
      <w:rFonts w:ascii="Times New Roman" w:eastAsia="宋体" w:hAnsi="Times New Roman" w:cs="Times New Roman"/>
      <w:b/>
      <w:sz w:val="24"/>
      <w:szCs w:val="24"/>
    </w:rPr>
  </w:style>
  <w:style w:type="character" w:customStyle="1" w:styleId="Heading2Char">
    <w:name w:val="Heading 2 Char"/>
    <w:basedOn w:val="DefaultParagraphFont"/>
    <w:link w:val="Heading2"/>
    <w:uiPriority w:val="9"/>
    <w:rsid w:val="008D3897"/>
    <w:rPr>
      <w:rFonts w:ascii="Times New Roman" w:eastAsia="宋体" w:hAnsi="Times New Roman" w:cs="宋体"/>
      <w:i/>
      <w:iCs/>
      <w:kern w:val="0"/>
      <w:sz w:val="24"/>
      <w:szCs w:val="24"/>
    </w:rPr>
  </w:style>
  <w:style w:type="character" w:styleId="Hyperlink">
    <w:name w:val="Hyperlink"/>
    <w:basedOn w:val="DefaultParagraphFont"/>
    <w:uiPriority w:val="99"/>
    <w:unhideWhenUsed/>
    <w:rsid w:val="008D3897"/>
    <w:rPr>
      <w:color w:val="0563C1" w:themeColor="hyperlink"/>
      <w:u w:val="single"/>
    </w:rPr>
  </w:style>
  <w:style w:type="paragraph" w:styleId="ListParagraph">
    <w:name w:val="List Paragraph"/>
    <w:basedOn w:val="Normal"/>
    <w:uiPriority w:val="34"/>
    <w:qFormat/>
    <w:rsid w:val="008D3897"/>
    <w:pPr>
      <w:ind w:firstLineChars="200" w:firstLine="420"/>
    </w:pPr>
  </w:style>
  <w:style w:type="paragraph" w:styleId="Bibliography">
    <w:name w:val="Bibliography"/>
    <w:basedOn w:val="Normal"/>
    <w:next w:val="Normal"/>
    <w:uiPriority w:val="37"/>
    <w:unhideWhenUsed/>
    <w:rsid w:val="008D3897"/>
    <w:pPr>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ementia.talkbank.org/access/English/Pitt.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1622</Words>
  <Characters>9252</Characters>
  <Application>Microsoft Office Word</Application>
  <DocSecurity>0</DocSecurity>
  <Lines>77</Lines>
  <Paragraphs>21</Paragraphs>
  <ScaleCrop>false</ScaleCrop>
  <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Rui</dc:creator>
  <cp:keywords/>
  <dc:description/>
  <cp:lastModifiedBy>He Rui</cp:lastModifiedBy>
  <cp:revision>2</cp:revision>
  <dcterms:created xsi:type="dcterms:W3CDTF">2022-11-03T14:42:00Z</dcterms:created>
  <dcterms:modified xsi:type="dcterms:W3CDTF">2022-11-03T14:44:00Z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zotero-version="6.0.16"&gt;&lt;session id="ySLjawTO"/&gt;&lt;style id="http://www.zotero.org/styles/apa" locale="en-US" hasBibliography="1" bibliographyStyleHasBeenSet="1"/&gt;&lt;prefs&gt;&lt;pref name="fieldType" value="Field"/&gt;&lt;/prefs&gt;&lt;/data&gt;</vt:lpwstr>
  </property>
</Properties>
</file>