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580" w:rsidRDefault="00094580" w:rsidP="00AE7582">
      <w:pPr>
        <w:spacing w:after="0" w:line="240" w:lineRule="auto"/>
        <w:jc w:val="right"/>
        <w:rPr>
          <w:rFonts w:ascii="Arial" w:hAnsi="Arial" w:cs="Arial"/>
          <w:color w:val="000000"/>
          <w:sz w:val="16"/>
          <w:szCs w:val="16"/>
        </w:rPr>
      </w:pPr>
    </w:p>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2E63FC">
        <w:rPr>
          <w:rFonts w:ascii="Arial" w:hAnsi="Arial" w:cs="Arial"/>
          <w:sz w:val="20"/>
          <w:szCs w:val="20"/>
        </w:rPr>
        <w:t>047WDBA</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CB5FB8">
        <w:rPr>
          <w:rFonts w:ascii="Arial" w:hAnsi="Arial" w:cs="Arial"/>
          <w:sz w:val="20"/>
          <w:szCs w:val="20"/>
        </w:rPr>
        <w:t xml:space="preserve"> </w:t>
      </w:r>
      <w:r w:rsidR="00094580">
        <w:rPr>
          <w:rFonts w:ascii="Arial" w:hAnsi="Arial" w:cs="Arial"/>
          <w:sz w:val="20"/>
          <w:szCs w:val="20"/>
        </w:rPr>
        <w:t>23</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2E63FC">
        <w:rPr>
          <w:rFonts w:ascii="Arial" w:hAnsi="Arial" w:cs="Arial"/>
          <w:sz w:val="20"/>
          <w:szCs w:val="20"/>
        </w:rPr>
        <w:t>23.05.2013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2E63FC">
        <w:rPr>
          <w:rFonts w:ascii="Arial" w:hAnsi="Arial" w:cs="Arial"/>
          <w:sz w:val="20"/>
          <w:szCs w:val="20"/>
        </w:rPr>
        <w:t>6mo</w:t>
      </w:r>
      <w:r w:rsidRPr="002E63FC">
        <w:rPr>
          <w:rFonts w:ascii="Arial" w:hAnsi="Arial" w:cs="Arial"/>
          <w:sz w:val="20"/>
          <w:szCs w:val="20"/>
        </w:rPr>
        <w:tab/>
      </w:r>
      <w:r w:rsidRPr="002E63FC">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r w:rsidR="00310BFD">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481D"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63FC" w:rsidP="00AC4BF9">
            <w:pPr>
              <w:pStyle w:val="NoSpacing"/>
              <w:jc w:val="right"/>
              <w:rPr>
                <w:rFonts w:ascii="Arial" w:hAnsi="Arial" w:cs="Arial"/>
                <w:sz w:val="20"/>
                <w:szCs w:val="20"/>
              </w:rPr>
            </w:pPr>
            <w:r>
              <w:rPr>
                <w:rFonts w:ascii="Arial" w:hAnsi="Arial" w:cs="Arial"/>
                <w:sz w:val="20"/>
                <w:szCs w:val="20"/>
              </w:rPr>
              <w:t>53</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0481D" w:rsidP="00AC4BF9">
            <w:pPr>
              <w:pStyle w:val="NoSpacing"/>
              <w:jc w:val="right"/>
              <w:rPr>
                <w:rFonts w:ascii="Arial" w:hAnsi="Arial" w:cs="Arial"/>
                <w:sz w:val="20"/>
                <w:szCs w:val="20"/>
              </w:rPr>
            </w:pPr>
            <w:r>
              <w:rPr>
                <w:rFonts w:ascii="Arial" w:hAnsi="Arial" w:cs="Arial"/>
                <w:sz w:val="20"/>
                <w:szCs w:val="20"/>
              </w:rPr>
              <w:t>CR10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63FC" w:rsidP="00AC4BF9">
            <w:pPr>
              <w:pStyle w:val="NoSpacing"/>
              <w:jc w:val="right"/>
              <w:rPr>
                <w:rFonts w:ascii="Arial" w:hAnsi="Arial" w:cs="Arial"/>
                <w:sz w:val="20"/>
                <w:szCs w:val="20"/>
              </w:rPr>
            </w:pPr>
            <w:r>
              <w:rPr>
                <w:rFonts w:ascii="Arial" w:hAnsi="Arial" w:cs="Arial"/>
                <w:sz w:val="20"/>
                <w:szCs w:val="20"/>
              </w:rPr>
              <w:t>3</w:t>
            </w:r>
            <w:r w:rsidR="00CB5FB8">
              <w:rPr>
                <w:rFonts w:ascii="Arial" w:hAnsi="Arial" w:cs="Arial"/>
                <w:sz w:val="20"/>
                <w:szCs w:val="20"/>
              </w:rPr>
              <w:t>/</w:t>
            </w:r>
            <w:r>
              <w:rPr>
                <w:rFonts w:ascii="Arial" w:hAnsi="Arial" w:cs="Arial"/>
                <w:sz w:val="20"/>
                <w:szCs w:val="20"/>
              </w:rPr>
              <w:t>7</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F0481D" w:rsidP="00637A33">
            <w:pPr>
              <w:pStyle w:val="NoSpacing"/>
              <w:jc w:val="right"/>
              <w:rPr>
                <w:rFonts w:ascii="Arial" w:hAnsi="Arial" w:cs="Arial"/>
                <w:sz w:val="20"/>
                <w:szCs w:val="20"/>
              </w:rPr>
            </w:pPr>
            <w:r>
              <w:rPr>
                <w:rFonts w:ascii="Arial" w:hAnsi="Arial" w:cs="Arial"/>
                <w:sz w:val="20"/>
                <w:szCs w:val="20"/>
              </w:rPr>
              <w:t>9.4</w:t>
            </w:r>
            <w:r w:rsidR="00397708"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2E63FC" w:rsidP="00AC4BF9">
            <w:pPr>
              <w:pStyle w:val="NoSpacing"/>
              <w:jc w:val="right"/>
              <w:rPr>
                <w:rFonts w:ascii="Arial" w:hAnsi="Arial" w:cs="Arial"/>
                <w:sz w:val="20"/>
                <w:szCs w:val="20"/>
              </w:rPr>
            </w:pPr>
            <w:r>
              <w:rPr>
                <w:rFonts w:ascii="Arial" w:hAnsi="Arial" w:cs="Arial"/>
                <w:sz w:val="20"/>
                <w:szCs w:val="20"/>
              </w:rPr>
              <w:t>2/4</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F0481D" w:rsidP="00637A33">
            <w:pPr>
              <w:pStyle w:val="NoSpacing"/>
              <w:jc w:val="right"/>
              <w:rPr>
                <w:rFonts w:ascii="Arial" w:hAnsi="Arial" w:cs="Arial"/>
                <w:sz w:val="20"/>
                <w:szCs w:val="20"/>
              </w:rPr>
            </w:pPr>
            <w:r>
              <w:rPr>
                <w:rFonts w:ascii="Arial" w:hAnsi="Arial" w:cs="Arial"/>
                <w:sz w:val="20"/>
                <w:szCs w:val="20"/>
              </w:rPr>
              <w:t>9.8</w:t>
            </w:r>
            <w:r w:rsidR="00397708">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F0481D" w:rsidP="00637A33">
            <w:pPr>
              <w:pStyle w:val="NoSpacing"/>
              <w:jc w:val="right"/>
              <w:rPr>
                <w:rFonts w:ascii="Arial" w:hAnsi="Arial" w:cs="Arial"/>
                <w:sz w:val="20"/>
                <w:szCs w:val="20"/>
              </w:rPr>
            </w:pPr>
            <w:r>
              <w:rPr>
                <w:rFonts w:ascii="Arial" w:hAnsi="Arial" w:cs="Arial"/>
                <w:sz w:val="20"/>
                <w:szCs w:val="20"/>
              </w:rPr>
              <w:t>94.4</w:t>
            </w:r>
            <w:r w:rsidR="00CB5FB8">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r w:rsidRPr="00603417">
              <w:rPr>
                <w:rFonts w:ascii="Arial" w:hAnsi="Arial" w:cs="Arial"/>
                <w:bCs/>
                <w:sz w:val="20"/>
                <w:szCs w:val="20"/>
              </w:rPr>
              <w:t xml:space="preserve">Y / </w:t>
            </w:r>
            <w:r w:rsidRPr="00F0481D">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E63FC" w:rsidP="00603417">
            <w:pPr>
              <w:pStyle w:val="NoSpacing"/>
              <w:jc w:val="right"/>
              <w:rPr>
                <w:rFonts w:ascii="Arial" w:hAnsi="Arial" w:cs="Arial"/>
                <w:sz w:val="20"/>
                <w:szCs w:val="20"/>
              </w:rPr>
            </w:pPr>
            <w:r>
              <w:rPr>
                <w:rFonts w:ascii="Arial" w:hAnsi="Arial" w:cs="Arial"/>
                <w:sz w:val="20"/>
                <w:szCs w:val="20"/>
              </w:rPr>
              <w:t>20</w:t>
            </w:r>
            <w:r w:rsidR="00397708">
              <w:rPr>
                <w:rFonts w:ascii="Arial" w:hAnsi="Arial" w:cs="Arial"/>
                <w:sz w:val="20"/>
                <w:szCs w:val="20"/>
              </w:rPr>
              <w:t>/22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397708" w:rsidP="00EC1DDF">
            <w:pPr>
              <w:pStyle w:val="NoSpacing"/>
              <w:jc w:val="both"/>
              <w:rPr>
                <w:rFonts w:ascii="Arial" w:hAnsi="Arial" w:cs="Arial"/>
                <w:sz w:val="20"/>
                <w:szCs w:val="20"/>
              </w:rPr>
            </w:pP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3340F" w:rsidP="008E0663">
            <w:pPr>
              <w:pStyle w:val="NoSpacing"/>
              <w:jc w:val="right"/>
              <w:rPr>
                <w:rFonts w:ascii="Arial" w:hAnsi="Arial" w:cs="Arial"/>
                <w:sz w:val="20"/>
                <w:szCs w:val="20"/>
              </w:rPr>
            </w:pPr>
            <w:r>
              <w:rPr>
                <w:rFonts w:ascii="Arial" w:hAnsi="Arial" w:cs="Arial"/>
                <w:sz w:val="20"/>
                <w:szCs w:val="20"/>
              </w:rPr>
              <w:t>9,7</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03340F">
              <w:rPr>
                <w:rFonts w:ascii="Arial" w:hAnsi="Arial" w:cs="Arial"/>
                <w:sz w:val="20"/>
                <w:szCs w:val="20"/>
              </w:rPr>
              <w:t>9,9,9,9,8</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3340F"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3340F" w:rsidP="00603417">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03340F">
              <w:rPr>
                <w:rFonts w:ascii="Arial" w:hAnsi="Arial" w:cs="Arial"/>
                <w:sz w:val="20"/>
                <w:szCs w:val="20"/>
              </w:rPr>
              <w:t>1,1,5,2</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3340F"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3340F" w:rsidP="008E0663">
            <w:pPr>
              <w:pStyle w:val="NoSpacing"/>
              <w:jc w:val="right"/>
              <w:rPr>
                <w:rFonts w:ascii="Arial" w:hAnsi="Arial" w:cs="Arial"/>
                <w:sz w:val="20"/>
                <w:szCs w:val="20"/>
              </w:rPr>
            </w:pPr>
            <w:r>
              <w:rPr>
                <w:rFonts w:ascii="Arial" w:hAnsi="Arial" w:cs="Arial"/>
                <w:sz w:val="20"/>
                <w:szCs w:val="20"/>
              </w:rPr>
              <w:t>9,8,8,8,8,8</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3340F" w:rsidP="00AC4BF9">
            <w:pPr>
              <w:pStyle w:val="NoSpacing"/>
              <w:jc w:val="right"/>
              <w:rPr>
                <w:rFonts w:ascii="Arial" w:hAnsi="Arial" w:cs="Arial"/>
                <w:sz w:val="20"/>
                <w:szCs w:val="20"/>
              </w:rPr>
            </w:pPr>
            <w:r>
              <w:rPr>
                <w:rFonts w:ascii="Arial" w:hAnsi="Arial" w:cs="Arial"/>
                <w:sz w:val="20"/>
                <w:szCs w:val="20"/>
              </w:rPr>
              <w:t>37</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03340F" w:rsidP="008E0663">
            <w:pPr>
              <w:pStyle w:val="NoSpacing"/>
              <w:jc w:val="right"/>
              <w:rPr>
                <w:rFonts w:ascii="Arial" w:hAnsi="Arial" w:cs="Arial"/>
                <w:sz w:val="20"/>
                <w:szCs w:val="20"/>
              </w:rPr>
            </w:pPr>
            <w:r>
              <w:rPr>
                <w:rFonts w:ascii="Arial" w:hAnsi="Arial" w:cs="Arial"/>
                <w:sz w:val="20"/>
                <w:szCs w:val="20"/>
              </w:rPr>
              <w:t>5,5,6</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03417">
            <w:pPr>
              <w:pStyle w:val="NoSpacing"/>
              <w:jc w:val="center"/>
              <w:rPr>
                <w:rFonts w:ascii="Arial" w:hAnsi="Arial" w:cs="Arial"/>
                <w:sz w:val="20"/>
                <w:szCs w:val="20"/>
              </w:rPr>
            </w:pPr>
            <w:r w:rsidRPr="0003340F">
              <w:rPr>
                <w:rFonts w:ascii="Arial" w:hAnsi="Arial" w:cs="Arial"/>
                <w:sz w:val="20"/>
                <w:szCs w:val="20"/>
                <w:highlight w:val="yellow"/>
              </w:rPr>
              <w:t>Y</w:t>
            </w:r>
            <w:r w:rsidRPr="00603417">
              <w:rPr>
                <w:rFonts w:ascii="Arial" w:hAnsi="Arial" w:cs="Arial"/>
                <w:sz w:val="20"/>
                <w:szCs w:val="20"/>
              </w:rPr>
              <w:t xml:space="preserve"> / N</w:t>
            </w:r>
            <w:r w:rsidR="00CB5FB8">
              <w:rPr>
                <w:rFonts w:ascii="Arial" w:hAnsi="Arial" w:cs="Arial"/>
                <w:sz w:val="20"/>
                <w:szCs w:val="20"/>
              </w:rPr>
              <w:t xml:space="preserve"> </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603417" w:rsidRPr="0067077D" w:rsidRDefault="00603417" w:rsidP="00853330">
            <w:pPr>
              <w:pStyle w:val="NoSpacing"/>
              <w:rPr>
                <w:rFonts w:ascii="Arial" w:hAnsi="Arial" w:cs="Arial"/>
                <w:sz w:val="20"/>
                <w:szCs w:val="20"/>
              </w:rPr>
            </w:pPr>
          </w:p>
        </w:tc>
        <w:tc>
          <w:tcPr>
            <w:tcW w:w="1440" w:type="dxa"/>
            <w:tcBorders>
              <w:top w:val="single" w:sz="8" w:space="0" w:color="auto"/>
            </w:tcBorders>
            <w:noWrap/>
            <w:vAlign w:val="center"/>
          </w:tcPr>
          <w:p w:rsidR="00603417" w:rsidRPr="0067077D" w:rsidRDefault="00603417" w:rsidP="004F49C9">
            <w:pPr>
              <w:pStyle w:val="NoSpacing"/>
              <w:jc w:val="right"/>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4F49C9"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4F49C9">
            <w:pPr>
              <w:pStyle w:val="NoSpacing"/>
              <w:jc w:val="center"/>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67077D"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03340F" w:rsidP="00067A56">
            <w:pPr>
              <w:spacing w:after="0" w:line="240" w:lineRule="auto"/>
              <w:rPr>
                <w:rFonts w:ascii="Arial" w:hAnsi="Arial" w:cs="Arial"/>
                <w:b/>
                <w:bCs/>
                <w:color w:val="000000"/>
                <w:sz w:val="20"/>
                <w:szCs w:val="20"/>
              </w:rPr>
            </w:pPr>
            <w:r>
              <w:rPr>
                <w:rFonts w:ascii="Arial" w:hAnsi="Arial" w:cs="Arial"/>
                <w:b/>
                <w:bCs/>
                <w:color w:val="000000"/>
                <w:sz w:val="20"/>
                <w:szCs w:val="20"/>
                <w:highlight w:val="yellow"/>
              </w:rPr>
              <w:t>NA</w:t>
            </w:r>
            <w:r w:rsidRPr="0003340F">
              <w:rPr>
                <w:rFonts w:ascii="Arial" w:hAnsi="Arial" w:cs="Arial"/>
                <w:b/>
                <w:bCs/>
                <w:color w:val="000000"/>
                <w:sz w:val="20"/>
                <w:szCs w:val="20"/>
                <w:highlight w:val="yellow"/>
              </w:rPr>
              <w:t xml:space="preserve"> at 9m review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50314" w:rsidP="0003340F">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806B3E" w:rsidP="00853330">
            <w:pPr>
              <w:spacing w:after="0" w:line="240" w:lineRule="auto"/>
              <w:rPr>
                <w:rFonts w:ascii="Arial" w:hAnsi="Arial" w:cs="Arial"/>
                <w:b/>
                <w:bCs/>
                <w:color w:val="000000"/>
                <w:sz w:val="20"/>
                <w:szCs w:val="20"/>
              </w:rPr>
            </w:pPr>
            <w:r w:rsidRPr="0075464D">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roofErr w:type="spellStart"/>
            <w:r w:rsidRPr="0003340F">
              <w:rPr>
                <w:rFonts w:ascii="Arial" w:hAnsi="Arial" w:cs="Arial"/>
                <w:color w:val="000000"/>
                <w:sz w:val="20"/>
                <w:szCs w:val="20"/>
              </w:rPr>
              <w:t>Disinhibition</w:t>
            </w:r>
            <w:proofErr w:type="spellEnd"/>
            <w:r w:rsidRPr="0003340F">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 xml:space="preserve">Self:    22, 9, 24, 27, </w:t>
            </w:r>
            <w:r w:rsidRPr="0003340F">
              <w:rPr>
                <w:rFonts w:ascii="Arial" w:hAnsi="Arial" w:cs="Arial"/>
                <w:i/>
                <w:iCs/>
                <w:color w:val="000000"/>
                <w:sz w:val="20"/>
                <w:szCs w:val="20"/>
                <w:highlight w:val="yellow"/>
              </w:rPr>
              <w:t>17</w:t>
            </w:r>
            <w:r w:rsidRPr="0003340F">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 xml:space="preserve">Self:    16, 10, 23, 11, 21, 6, </w:t>
            </w:r>
            <w:r w:rsidRPr="0003340F">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12EB"/>
    <w:rsid w:val="0003340F"/>
    <w:rsid w:val="00063AB4"/>
    <w:rsid w:val="00067A56"/>
    <w:rsid w:val="000901AB"/>
    <w:rsid w:val="00092550"/>
    <w:rsid w:val="00094580"/>
    <w:rsid w:val="000E0A24"/>
    <w:rsid w:val="00123FCE"/>
    <w:rsid w:val="001249DA"/>
    <w:rsid w:val="00151F46"/>
    <w:rsid w:val="0021371F"/>
    <w:rsid w:val="0024608E"/>
    <w:rsid w:val="0025401D"/>
    <w:rsid w:val="002E63FC"/>
    <w:rsid w:val="002F05B9"/>
    <w:rsid w:val="0030765E"/>
    <w:rsid w:val="00310BFD"/>
    <w:rsid w:val="003614E9"/>
    <w:rsid w:val="0037654E"/>
    <w:rsid w:val="00397708"/>
    <w:rsid w:val="004236EF"/>
    <w:rsid w:val="004771E6"/>
    <w:rsid w:val="00494B38"/>
    <w:rsid w:val="00496E35"/>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B39D3"/>
    <w:rsid w:val="007E6BC9"/>
    <w:rsid w:val="00806B3E"/>
    <w:rsid w:val="00832220"/>
    <w:rsid w:val="00853330"/>
    <w:rsid w:val="008B3B81"/>
    <w:rsid w:val="008C444F"/>
    <w:rsid w:val="008E0663"/>
    <w:rsid w:val="008E79D1"/>
    <w:rsid w:val="008F5229"/>
    <w:rsid w:val="009164F7"/>
    <w:rsid w:val="00925883"/>
    <w:rsid w:val="00974CD0"/>
    <w:rsid w:val="009B4071"/>
    <w:rsid w:val="009B4EE9"/>
    <w:rsid w:val="009E467A"/>
    <w:rsid w:val="00A249F3"/>
    <w:rsid w:val="00A24CAD"/>
    <w:rsid w:val="00AC4BF9"/>
    <w:rsid w:val="00AE7582"/>
    <w:rsid w:val="00AF04B1"/>
    <w:rsid w:val="00B06698"/>
    <w:rsid w:val="00B50314"/>
    <w:rsid w:val="00B871F9"/>
    <w:rsid w:val="00BE44B7"/>
    <w:rsid w:val="00C02321"/>
    <w:rsid w:val="00C36E18"/>
    <w:rsid w:val="00C426A7"/>
    <w:rsid w:val="00C4568E"/>
    <w:rsid w:val="00C6031F"/>
    <w:rsid w:val="00C61FB8"/>
    <w:rsid w:val="00CB5FB8"/>
    <w:rsid w:val="00CD6484"/>
    <w:rsid w:val="00CE571A"/>
    <w:rsid w:val="00D30776"/>
    <w:rsid w:val="00D362CB"/>
    <w:rsid w:val="00D46FEA"/>
    <w:rsid w:val="00D82101"/>
    <w:rsid w:val="00D87B93"/>
    <w:rsid w:val="00DA703F"/>
    <w:rsid w:val="00DB702E"/>
    <w:rsid w:val="00DC3F83"/>
    <w:rsid w:val="00DD38C1"/>
    <w:rsid w:val="00EB098D"/>
    <w:rsid w:val="00EC1DDF"/>
    <w:rsid w:val="00F0481D"/>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511</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7</cp:revision>
  <cp:lastPrinted>2011-08-12T01:32:00Z</cp:lastPrinted>
  <dcterms:created xsi:type="dcterms:W3CDTF">2013-05-20T05:26:00Z</dcterms:created>
  <dcterms:modified xsi:type="dcterms:W3CDTF">2014-08-19T07:02:00Z</dcterms:modified>
</cp:coreProperties>
</file>